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AA" w:rsidRPr="00DD3B88" w:rsidRDefault="00CD34AA" w:rsidP="00CD34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D34AA" w:rsidRDefault="00CD34AA" w:rsidP="00CD34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CD34AA" w:rsidRPr="008E7355" w:rsidRDefault="00CD34AA" w:rsidP="00CD34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D34AA" w:rsidRDefault="00CD34AA" w:rsidP="00CD34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>Бродовского сельского</w:t>
      </w:r>
      <w:r w:rsidRPr="00DD3B8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4AA" w:rsidRDefault="00CD34AA" w:rsidP="00CD34A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139DE">
        <w:rPr>
          <w:rFonts w:ascii="Times New Roman" w:hAnsi="Times New Roman" w:cs="Times New Roman"/>
          <w:sz w:val="24"/>
          <w:szCs w:val="24"/>
        </w:rPr>
        <w:t>23.12.</w:t>
      </w:r>
      <w:r>
        <w:rPr>
          <w:rFonts w:ascii="Times New Roman" w:hAnsi="Times New Roman" w:cs="Times New Roman"/>
          <w:sz w:val="24"/>
          <w:szCs w:val="24"/>
        </w:rPr>
        <w:t xml:space="preserve">2014 № </w:t>
      </w:r>
      <w:r w:rsidR="006139DE">
        <w:rPr>
          <w:rFonts w:ascii="Times New Roman" w:hAnsi="Times New Roman" w:cs="Times New Roman"/>
          <w:sz w:val="24"/>
          <w:szCs w:val="24"/>
        </w:rPr>
        <w:t>218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F3B">
        <w:rPr>
          <w:rFonts w:ascii="Times New Roman" w:hAnsi="Times New Roman" w:cs="Times New Roman"/>
          <w:b/>
          <w:sz w:val="52"/>
          <w:szCs w:val="52"/>
        </w:rPr>
        <w:t>«ПЛАНИРОВКА ОБЩЕСТВЕННО-ДЕЛОВЫХ ЗОН НАСЕЛЕННЫХ ПУНКТОВ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25113">
        <w:rPr>
          <w:rFonts w:ascii="Times New Roman" w:hAnsi="Times New Roman" w:cs="Times New Roman"/>
          <w:b/>
          <w:sz w:val="52"/>
          <w:szCs w:val="52"/>
        </w:rPr>
        <w:t>БРОДОВСКОГО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D17B3">
        <w:rPr>
          <w:rFonts w:ascii="Times New Roman" w:hAnsi="Times New Roman" w:cs="Times New Roman"/>
          <w:b/>
          <w:sz w:val="52"/>
          <w:szCs w:val="52"/>
        </w:rPr>
        <w:t>СЕЛЬ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СКОГО </w:t>
      </w:r>
      <w:r w:rsidRPr="007B7F3B">
        <w:rPr>
          <w:rFonts w:ascii="Times New Roman" w:hAnsi="Times New Roman" w:cs="Times New Roman"/>
          <w:b/>
          <w:sz w:val="52"/>
          <w:szCs w:val="52"/>
        </w:rPr>
        <w:t>ПОСЕЛЕНИЯ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АННИНСКОГО МУНИЦИПАЛЬНОГО РАЙОНА ВОРОНЕЖСКОЙ ОБЛАСТИ»</w:t>
      </w:r>
      <w:r w:rsidRPr="007B7F3B">
        <w:rPr>
          <w:rFonts w:ascii="Times New Roman" w:hAnsi="Times New Roman" w:cs="Times New Roman"/>
          <w:b/>
          <w:sz w:val="52"/>
          <w:szCs w:val="52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4B06" w:rsidRDefault="009B4B06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4B06" w:rsidRDefault="009B4B06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4B06" w:rsidRDefault="009B4B06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4B06" w:rsidRDefault="009B4B06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4B06" w:rsidRDefault="009B4B06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4B06" w:rsidRDefault="009B4B06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Pr="007B7F3B" w:rsidRDefault="00CD34AA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B7F3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Бродовое</w:t>
      </w:r>
      <w:r w:rsidR="007B7F3B">
        <w:rPr>
          <w:rFonts w:ascii="Times New Roman" w:hAnsi="Times New Roman" w:cs="Times New Roman"/>
          <w:b/>
          <w:sz w:val="32"/>
          <w:szCs w:val="32"/>
        </w:rPr>
        <w:t>, 2014 г.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198"/>
        <w:gridCol w:w="1426"/>
      </w:tblGrid>
      <w:tr w:rsidR="000E4C97" w:rsidTr="00CD17B3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198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426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98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426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Pr="000E4C97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>Общая организация и зонирование территории поселения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98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426" w:type="dxa"/>
          </w:tcPr>
          <w:p w:rsidR="00AB3D3B" w:rsidRDefault="00CD17B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9B4B0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C37B7A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деловые зоны</w:t>
            </w:r>
          </w:p>
        </w:tc>
        <w:tc>
          <w:tcPr>
            <w:tcW w:w="1426" w:type="dxa"/>
          </w:tcPr>
          <w:p w:rsidR="009B4B06" w:rsidRDefault="009B4B06" w:rsidP="009B4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9B4B0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B7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98" w:type="dxa"/>
          </w:tcPr>
          <w:p w:rsidR="007B7F3B" w:rsidRDefault="00C37B7A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1426" w:type="dxa"/>
          </w:tcPr>
          <w:p w:rsidR="007B7F3B" w:rsidRDefault="009B4B06" w:rsidP="00CD1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9B4B0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7B7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98" w:type="dxa"/>
          </w:tcPr>
          <w:p w:rsidR="007B7F3B" w:rsidRPr="00C37B7A" w:rsidRDefault="00C37B7A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A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 и предприятия социальной инфраструктуры</w:t>
            </w:r>
          </w:p>
        </w:tc>
        <w:tc>
          <w:tcPr>
            <w:tcW w:w="1426" w:type="dxa"/>
          </w:tcPr>
          <w:p w:rsidR="007B7F3B" w:rsidRDefault="009B4B06" w:rsidP="00CD1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9B4B0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C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98" w:type="dxa"/>
          </w:tcPr>
          <w:p w:rsidR="007B7F3B" w:rsidRPr="00843C92" w:rsidRDefault="00843C92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2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благоустройство общественно-деловых зон</w:t>
            </w:r>
          </w:p>
        </w:tc>
        <w:tc>
          <w:tcPr>
            <w:tcW w:w="1426" w:type="dxa"/>
          </w:tcPr>
          <w:p w:rsidR="009B4B06" w:rsidRDefault="009B4B06" w:rsidP="009B4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1FFD" w:rsidTr="00CD17B3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8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426" w:type="dxa"/>
          </w:tcPr>
          <w:p w:rsidR="00591FFD" w:rsidRDefault="009B4B0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1D9B" w:rsidTr="00CD17B3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198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426" w:type="dxa"/>
          </w:tcPr>
          <w:p w:rsidR="00A21D9B" w:rsidRDefault="009B4B06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F7" w:rsidRDefault="00F26CF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6" w:rsidRDefault="009B4B06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B3" w:rsidRDefault="00CD17B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общественно-деловых зон</w:t>
      </w:r>
      <w:r w:rsidR="00330911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425113" w:rsidRPr="00425113">
        <w:rPr>
          <w:rFonts w:ascii="Times New Roman" w:hAnsi="Times New Roman" w:cs="Times New Roman"/>
          <w:sz w:val="24"/>
          <w:szCs w:val="24"/>
        </w:rPr>
        <w:t>Бродовского</w:t>
      </w:r>
      <w:r w:rsidR="00425113"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636F">
        <w:rPr>
          <w:rFonts w:ascii="Times New Roman" w:hAnsi="Times New Roman" w:cs="Times New Roman"/>
          <w:sz w:val="24"/>
          <w:szCs w:val="24"/>
        </w:rPr>
        <w:t>Аннинского муниципального района 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C6447C">
        <w:rPr>
          <w:rFonts w:ascii="Times New Roman" w:hAnsi="Times New Roman" w:cs="Times New Roman"/>
          <w:sz w:val="24"/>
          <w:szCs w:val="24"/>
        </w:rPr>
        <w:t>муниципального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C6447C">
        <w:rPr>
          <w:rFonts w:ascii="Times New Roman" w:hAnsi="Times New Roman" w:cs="Times New Roman"/>
          <w:sz w:val="24"/>
          <w:szCs w:val="24"/>
        </w:rPr>
        <w:t>района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425113" w:rsidRPr="00425113">
        <w:rPr>
          <w:rFonts w:ascii="Times New Roman" w:hAnsi="Times New Roman" w:cs="Times New Roman"/>
          <w:sz w:val="24"/>
          <w:szCs w:val="24"/>
        </w:rPr>
        <w:t>Бродовского</w:t>
      </w:r>
      <w:r w:rsidR="00425113"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="00A33F91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26E65">
        <w:rPr>
          <w:rFonts w:ascii="Times New Roman" w:hAnsi="Times New Roman" w:cs="Times New Roman"/>
          <w:sz w:val="24"/>
          <w:szCs w:val="24"/>
        </w:rPr>
        <w:t>(далее – поселение)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>территории поселения расположен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>
        <w:rPr>
          <w:rFonts w:ascii="Times New Roman" w:hAnsi="Times New Roman" w:cs="Times New Roman"/>
          <w:sz w:val="24"/>
          <w:szCs w:val="24"/>
        </w:rPr>
        <w:t>1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9E636F">
        <w:rPr>
          <w:rFonts w:ascii="Times New Roman" w:hAnsi="Times New Roman" w:cs="Times New Roman"/>
          <w:sz w:val="24"/>
          <w:szCs w:val="24"/>
        </w:rPr>
        <w:t>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пункт,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ело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425113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ела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425113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t>2.</w:t>
      </w:r>
      <w:r w:rsidR="00A33F91">
        <w:rPr>
          <w:b/>
        </w:rPr>
        <w:t>3</w:t>
      </w:r>
      <w:r w:rsidRPr="00226E65">
        <w:rPr>
          <w:b/>
        </w:rPr>
        <w:t xml:space="preserve">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</w:t>
      </w:r>
      <w:r w:rsidR="00A33F91">
        <w:rPr>
          <w:rFonts w:ascii="Times New Roman" w:hAnsi="Times New Roman" w:cs="Times New Roman"/>
          <w:b/>
          <w:sz w:val="24"/>
          <w:szCs w:val="24"/>
        </w:rPr>
        <w:t>4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9700D9" w:rsidRPr="00226E65" w:rsidRDefault="009700D9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6447C" w:rsidRDefault="00C6447C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297163239"/>
    </w:p>
    <w:p w:rsidR="000E4C97" w:rsidRDefault="000E4C97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 w:val="0"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p w:rsidR="009700D9" w:rsidRPr="00226E65" w:rsidRDefault="009B4B06" w:rsidP="009700D9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97163246"/>
      <w:bookmarkEnd w:id="2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. ОБЩЕСТВЕННО-ДЕЛОВЫЕ ЗОНЫ</w:t>
      </w:r>
      <w:bookmarkEnd w:id="3"/>
    </w:p>
    <w:p w:rsidR="009700D9" w:rsidRPr="00226E65" w:rsidRDefault="009B4B06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" w:name="_Toc297163247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bookmarkEnd w:id="4"/>
    </w:p>
    <w:p w:rsidR="009700D9" w:rsidRPr="00226E65" w:rsidRDefault="009B4B06" w:rsidP="00354C2B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.1.1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. </w:t>
      </w:r>
      <w:r w:rsidR="00354C2B" w:rsidRPr="00226E65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9700D9" w:rsidRPr="00226E65" w:rsidRDefault="009B4B06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9700D9" w:rsidRPr="00226E65" w:rsidRDefault="009B4B06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9700D9" w:rsidRPr="00226E65" w:rsidRDefault="009B4B06" w:rsidP="009700D9">
      <w:pPr>
        <w:pStyle w:val="ac"/>
        <w:widowControl w:val="0"/>
        <w:spacing w:before="0" w:beforeAutospacing="0" w:after="0" w:afterAutospacing="0" w:line="20" w:lineRule="atLeast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</w:t>
      </w:r>
      <w:r w:rsidR="00112F3B">
        <w:rPr>
          <w:b/>
        </w:rPr>
        <w:t>4</w:t>
      </w:r>
      <w:r w:rsidR="009700D9" w:rsidRPr="00226E65"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9700D9" w:rsidRPr="00226E65" w:rsidRDefault="009B4B06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97163248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.2. Учреждения и предприятия социальной инфраструктуры</w:t>
      </w:r>
      <w:bookmarkEnd w:id="5"/>
    </w:p>
    <w:p w:rsidR="009700D9" w:rsidRPr="00226E65" w:rsidRDefault="009B4B06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9700D9" w:rsidRPr="00226E65" w:rsidRDefault="009B4B06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700D9" w:rsidRPr="00226E65" w:rsidRDefault="009B4B06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112F3B">
        <w:rPr>
          <w:rFonts w:ascii="Times New Roman" w:hAnsi="Times New Roman" w:cs="Times New Roman"/>
          <w:sz w:val="24"/>
          <w:szCs w:val="24"/>
        </w:rPr>
        <w:t>Р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асчетные показатели минимальной обеспеченности социально значимыми объектами повседневного обслуживания приведены в таблице </w:t>
      </w:r>
      <w:r w:rsidR="00F949C6">
        <w:rPr>
          <w:rFonts w:ascii="Times New Roman" w:hAnsi="Times New Roman" w:cs="Times New Roman"/>
          <w:sz w:val="24"/>
          <w:szCs w:val="24"/>
        </w:rPr>
        <w:t>1</w:t>
      </w:r>
      <w:r w:rsidR="009700D9"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4B06">
        <w:rPr>
          <w:rFonts w:ascii="Times New Roman" w:hAnsi="Times New Roman" w:cs="Times New Roman"/>
          <w:sz w:val="24"/>
          <w:szCs w:val="24"/>
        </w:rPr>
        <w:t>1</w:t>
      </w:r>
      <w:r w:rsidRPr="00226E65">
        <w:rPr>
          <w:rFonts w:ascii="Times New Roman" w:hAnsi="Times New Roman" w:cs="Times New Roman"/>
          <w:sz w:val="24"/>
          <w:szCs w:val="24"/>
        </w:rPr>
        <w:t xml:space="preserve">. Расчетные показатели минимальной обеспеченности социально значимыми объектами повседневного обслуживания </w:t>
      </w:r>
      <w:r w:rsidR="00425113" w:rsidRPr="00425113">
        <w:rPr>
          <w:rFonts w:ascii="Times New Roman" w:hAnsi="Times New Roman" w:cs="Times New Roman"/>
          <w:sz w:val="24"/>
          <w:szCs w:val="24"/>
        </w:rPr>
        <w:t>Бродовского</w:t>
      </w:r>
      <w:r w:rsidR="00425113">
        <w:t xml:space="preserve"> </w:t>
      </w:r>
      <w:r w:rsidR="00112F3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2551"/>
        <w:gridCol w:w="2268"/>
      </w:tblGrid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9700D9" w:rsidRPr="00226E65" w:rsidTr="009E636F">
        <w:trPr>
          <w:cantSplit/>
          <w:trHeight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&lt;*&gt; При отсутствии расчета по демографии.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B4B06" w:rsidP="00112F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.2.4.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112F3B" w:rsidRPr="00226E65">
        <w:rPr>
          <w:rFonts w:ascii="Times New Roman" w:hAnsi="Times New Roman" w:cs="Times New Roman"/>
          <w:sz w:val="24"/>
          <w:szCs w:val="24"/>
        </w:rPr>
        <w:t>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700D9" w:rsidRPr="00226E65" w:rsidRDefault="009B4B06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</w:t>
      </w:r>
      <w:r w:rsidR="00112F3B">
        <w:rPr>
          <w:rFonts w:ascii="Times New Roman" w:hAnsi="Times New Roman" w:cs="Times New Roman"/>
          <w:b/>
          <w:sz w:val="24"/>
          <w:szCs w:val="24"/>
        </w:rPr>
        <w:t>5</w:t>
      </w:r>
      <w:r w:rsidR="009700D9" w:rsidRPr="00226E65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pacing w:val="-2"/>
          <w:sz w:val="24"/>
          <w:szCs w:val="24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="009700D9" w:rsidRPr="00226E65">
        <w:rPr>
          <w:rFonts w:ascii="Times New Roman" w:hAnsi="Times New Roman" w:cs="Times New Roman"/>
          <w:sz w:val="24"/>
          <w:szCs w:val="24"/>
        </w:rPr>
        <w:t>Федерального закона от 28.12.2009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9700D9" w:rsidRPr="00226E65" w:rsidRDefault="009B4B06" w:rsidP="009700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sz w:val="24"/>
          <w:szCs w:val="24"/>
        </w:rPr>
        <w:t>.2.</w:t>
      </w:r>
      <w:r w:rsidR="00112F3B">
        <w:rPr>
          <w:rFonts w:ascii="Times New Roman" w:hAnsi="Times New Roman" w:cs="Times New Roman"/>
          <w:sz w:val="24"/>
          <w:szCs w:val="24"/>
        </w:rPr>
        <w:t>6</w:t>
      </w:r>
      <w:r w:rsidR="009700D9" w:rsidRPr="00226E6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9700D9" w:rsidRPr="00226E65" w:rsidRDefault="009700D9" w:rsidP="009700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6E65"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2) Общая площадь рынка определяется из расчета: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3).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9700D9" w:rsidRPr="00226E65" w:rsidRDefault="009700D9" w:rsidP="009700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= A х 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торг  норм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х 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тер  норм</w:t>
      </w:r>
      <w:r w:rsidRPr="00226E65">
        <w:rPr>
          <w:rFonts w:ascii="Times New Roman" w:hAnsi="Times New Roman" w:cs="Times New Roman"/>
          <w:sz w:val="24"/>
          <w:szCs w:val="24"/>
        </w:rPr>
        <w:t>,</w:t>
      </w:r>
    </w:p>
    <w:p w:rsidR="009700D9" w:rsidRPr="00226E65" w:rsidRDefault="009700D9" w:rsidP="009700D9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где 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тер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9700D9" w:rsidRPr="00226E65" w:rsidRDefault="009700D9" w:rsidP="009700D9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9700D9" w:rsidRPr="00226E65" w:rsidRDefault="009700D9" w:rsidP="009700D9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торг норм</w:t>
      </w:r>
      <w:r w:rsidRPr="00226E65">
        <w:rPr>
          <w:rFonts w:ascii="Times New Roman" w:hAnsi="Times New Roman" w:cs="Times New Roman"/>
          <w:sz w:val="24"/>
          <w:szCs w:val="24"/>
        </w:rPr>
        <w:t xml:space="preserve"> -размер торговой площади, установленный п. 3)</w:t>
      </w:r>
    </w:p>
    <w:p w:rsidR="009700D9" w:rsidRPr="00226E65" w:rsidRDefault="009700D9" w:rsidP="009700D9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 </w:t>
      </w:r>
      <w:r w:rsidRPr="00226E65">
        <w:rPr>
          <w:rFonts w:ascii="Times New Roman" w:hAnsi="Times New Roman" w:cs="Times New Roman"/>
          <w:b/>
          <w:sz w:val="24"/>
          <w:szCs w:val="24"/>
          <w:vertAlign w:val="subscript"/>
        </w:rPr>
        <w:t>тер норм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9700D9" w:rsidRPr="00226E65" w:rsidRDefault="009B4B06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112F3B">
        <w:rPr>
          <w:b/>
        </w:rPr>
        <w:t>7</w:t>
      </w:r>
      <w:r w:rsidR="009700D9" w:rsidRPr="00226E65">
        <w:rPr>
          <w:b/>
        </w:rPr>
        <w:t>.</w:t>
      </w:r>
      <w:r w:rsidR="009700D9" w:rsidRPr="00226E65"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9700D9" w:rsidRPr="00226E65" w:rsidRDefault="009700D9" w:rsidP="009700D9">
      <w:pPr>
        <w:widowControl w:val="0"/>
        <w:ind w:firstLine="720"/>
        <w:jc w:val="both"/>
      </w:pPr>
      <w:r w:rsidRPr="00226E65"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</w:t>
      </w:r>
      <w:r w:rsidRPr="00843C92">
        <w:t>станций</w:t>
      </w:r>
      <w:r w:rsidRPr="00226E65">
        <w:rPr>
          <w:i/>
        </w:rPr>
        <w:t>.</w:t>
      </w:r>
      <w:r w:rsidRPr="00226E65"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9700D9" w:rsidRPr="00226E65" w:rsidRDefault="009700D9" w:rsidP="009700D9">
      <w:pPr>
        <w:widowControl w:val="0"/>
        <w:spacing w:line="239" w:lineRule="auto"/>
        <w:ind w:firstLine="720"/>
        <w:jc w:val="both"/>
      </w:pPr>
      <w:r w:rsidRPr="00226E65">
        <w:t>Рекомендуется обеспечивать минимальную плотность застройки территории розничных рынков не менее 50 %.</w:t>
      </w:r>
    </w:p>
    <w:p w:rsidR="009700D9" w:rsidRPr="00226E65" w:rsidRDefault="009B4B06" w:rsidP="009700D9">
      <w:pPr>
        <w:pStyle w:val="ConsPlusNormal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</w:t>
      </w:r>
      <w:r w:rsidR="00220E4A">
        <w:rPr>
          <w:rFonts w:ascii="Times New Roman" w:hAnsi="Times New Roman" w:cs="Times New Roman"/>
          <w:b/>
          <w:sz w:val="24"/>
          <w:szCs w:val="24"/>
        </w:rPr>
        <w:t>8</w:t>
      </w:r>
      <w:r w:rsidR="009700D9" w:rsidRPr="00226E65">
        <w:rPr>
          <w:rFonts w:ascii="Times New Roman" w:hAnsi="Times New Roman" w:cs="Times New Roman"/>
          <w:sz w:val="24"/>
          <w:szCs w:val="24"/>
        </w:rPr>
        <w:t>. На территории поселения следует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9700D9" w:rsidRPr="00226E65" w:rsidRDefault="009B4B0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220E4A">
        <w:rPr>
          <w:b/>
        </w:rPr>
        <w:t>9</w:t>
      </w:r>
      <w:r w:rsidR="009700D9" w:rsidRPr="00226E65">
        <w:t>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  <w:r w:rsidRPr="00226E65"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226E65"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226E65"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r w:rsidRPr="00226E65">
        <w:rPr>
          <w:vertAlign w:val="superscript"/>
        </w:rPr>
        <w:t>2</w:t>
      </w:r>
      <w:r w:rsidRPr="00226E65"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226E65"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r w:rsidRPr="00226E65">
        <w:rPr>
          <w:vertAlign w:val="superscript"/>
        </w:rPr>
        <w:t>2</w:t>
      </w:r>
      <w:r w:rsidRPr="00226E65">
        <w:t xml:space="preserve"> на одно место в храме.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</w:pPr>
      <w:r w:rsidRPr="00226E65"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По всему периметру храмового комплекса следует предусматривать ограждение высотой 1,5-2,0 м. </w:t>
      </w:r>
    </w:p>
    <w:p w:rsidR="009700D9" w:rsidRPr="00226E65" w:rsidRDefault="009700D9" w:rsidP="009700D9">
      <w:pPr>
        <w:widowControl w:val="0"/>
        <w:autoSpaceDE w:val="0"/>
        <w:autoSpaceDN w:val="0"/>
        <w:adjustRightInd w:val="0"/>
        <w:ind w:firstLine="709"/>
        <w:jc w:val="both"/>
      </w:pPr>
      <w:r w:rsidRPr="00226E65"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9700D9" w:rsidRPr="00226E65" w:rsidRDefault="009700D9" w:rsidP="00843C92">
      <w:pPr>
        <w:pStyle w:val="1"/>
        <w:keepNext w:val="0"/>
        <w:tabs>
          <w:tab w:val="clear" w:pos="432"/>
          <w:tab w:val="num" w:pos="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297163249"/>
      <w:r w:rsidRPr="00226E65">
        <w:rPr>
          <w:rFonts w:ascii="Times New Roman" w:hAnsi="Times New Roman" w:cs="Times New Roman"/>
          <w:b w:val="0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люфт-клозетов.</w:t>
      </w:r>
      <w:bookmarkEnd w:id="6"/>
    </w:p>
    <w:p w:rsidR="009700D9" w:rsidRPr="00226E65" w:rsidRDefault="009B4B06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7" w:name="_Toc297163250"/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.3. Комплексное благоустройство общественно-деловых зон</w:t>
      </w:r>
      <w:bookmarkEnd w:id="7"/>
    </w:p>
    <w:p w:rsidR="009700D9" w:rsidRPr="00226E65" w:rsidRDefault="009B4B06" w:rsidP="009700D9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="009700D9" w:rsidRPr="00843C92">
        <w:rPr>
          <w:rFonts w:ascii="Times New Roman" w:hAnsi="Times New Roman" w:cs="Times New Roman"/>
          <w:sz w:val="24"/>
          <w:szCs w:val="24"/>
        </w:rPr>
        <w:t>комплексного благоустройства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области.</w:t>
      </w:r>
    </w:p>
    <w:p w:rsidR="009700D9" w:rsidRPr="00226E65" w:rsidRDefault="009B4B06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.3.2.</w:t>
      </w:r>
      <w:r w:rsidR="009700D9" w:rsidRPr="00226E65">
        <w:rPr>
          <w:rFonts w:ascii="Times New Roman" w:hAnsi="Times New Roman" w:cs="Times New Roman"/>
          <w:sz w:val="24"/>
          <w:szCs w:val="24"/>
        </w:rPr>
        <w:t>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9700D9" w:rsidRPr="00226E65" w:rsidRDefault="009B4B06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.3.3.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F768DA" w:rsidRPr="00226E65" w:rsidRDefault="009B4B06" w:rsidP="00F76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68DA" w:rsidRPr="00226E65">
        <w:rPr>
          <w:rFonts w:ascii="Times New Roman" w:hAnsi="Times New Roman" w:cs="Times New Roman"/>
          <w:b/>
          <w:sz w:val="24"/>
          <w:szCs w:val="24"/>
        </w:rPr>
        <w:t>.3.4.</w:t>
      </w:r>
      <w:r w:rsidR="00F768DA" w:rsidRPr="00226E65">
        <w:rPr>
          <w:rFonts w:ascii="Times New Roman" w:hAnsi="Times New Roman" w:cs="Times New Roman"/>
          <w:sz w:val="24"/>
          <w:szCs w:val="24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F768DA" w:rsidRPr="00226E65" w:rsidRDefault="009B4B06" w:rsidP="00F76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68DA" w:rsidRPr="00226E65">
        <w:rPr>
          <w:rFonts w:ascii="Times New Roman" w:hAnsi="Times New Roman" w:cs="Times New Roman"/>
          <w:b/>
          <w:sz w:val="24"/>
          <w:szCs w:val="24"/>
        </w:rPr>
        <w:t>.3.5.</w:t>
      </w:r>
      <w:r w:rsidR="00F768DA" w:rsidRPr="00226E65">
        <w:rPr>
          <w:rFonts w:ascii="Times New Roman" w:hAnsi="Times New Roman" w:cs="Times New Roman"/>
          <w:sz w:val="24"/>
          <w:szCs w:val="24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F768DA" w:rsidRPr="00226E65" w:rsidRDefault="00F768DA" w:rsidP="00F76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9700D9" w:rsidRPr="00226E65" w:rsidRDefault="00F768DA" w:rsidP="00F768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9700D9" w:rsidRPr="00226E65" w:rsidRDefault="009B4B06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</w:t>
      </w:r>
      <w:r w:rsidR="00F768DA">
        <w:rPr>
          <w:rFonts w:ascii="Times New Roman" w:hAnsi="Times New Roman" w:cs="Times New Roman"/>
          <w:b/>
          <w:sz w:val="24"/>
          <w:szCs w:val="24"/>
        </w:rPr>
        <w:t>6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автовокзалы, автостанции).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</w:t>
      </w:r>
      <w:r w:rsidR="00F768DA">
        <w:rPr>
          <w:rFonts w:ascii="Times New Roman" w:hAnsi="Times New Roman" w:cs="Times New Roman"/>
          <w:sz w:val="24"/>
          <w:szCs w:val="24"/>
        </w:rPr>
        <w:t xml:space="preserve">села </w:t>
      </w:r>
      <w:r w:rsidR="00425113">
        <w:rPr>
          <w:rFonts w:ascii="Times New Roman" w:hAnsi="Times New Roman" w:cs="Times New Roman"/>
          <w:sz w:val="24"/>
          <w:szCs w:val="24"/>
        </w:rPr>
        <w:t>Бродовое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- не более 60 м, других территорий </w:t>
      </w:r>
      <w:r w:rsidR="00F768DA">
        <w:rPr>
          <w:rFonts w:ascii="Times New Roman" w:hAnsi="Times New Roman" w:cs="Times New Roman"/>
          <w:sz w:val="24"/>
          <w:szCs w:val="24"/>
        </w:rPr>
        <w:t xml:space="preserve">села </w:t>
      </w:r>
      <w:r w:rsidR="00425113">
        <w:rPr>
          <w:rFonts w:ascii="Times New Roman" w:hAnsi="Times New Roman" w:cs="Times New Roman"/>
          <w:sz w:val="24"/>
          <w:szCs w:val="24"/>
        </w:rPr>
        <w:t>Бродовое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расстановка не должна мешать передвижению пешеходов, проезду инвалидных и детских колясок.</w:t>
      </w:r>
    </w:p>
    <w:p w:rsidR="009700D9" w:rsidRPr="00226E65" w:rsidRDefault="009B4B06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</w:t>
      </w:r>
      <w:r w:rsidR="00F768DA">
        <w:rPr>
          <w:rFonts w:ascii="Times New Roman" w:hAnsi="Times New Roman" w:cs="Times New Roman"/>
          <w:b/>
          <w:sz w:val="24"/>
          <w:szCs w:val="24"/>
        </w:rPr>
        <w:t>7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На территории общественных центров </w:t>
      </w:r>
      <w:r w:rsidR="009E636F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F768DA">
        <w:rPr>
          <w:rFonts w:ascii="Times New Roman" w:hAnsi="Times New Roman" w:cs="Times New Roman"/>
          <w:sz w:val="24"/>
          <w:szCs w:val="24"/>
        </w:rPr>
        <w:t xml:space="preserve">села </w:t>
      </w:r>
      <w:r w:rsidR="00425113" w:rsidRPr="00425113">
        <w:rPr>
          <w:rFonts w:ascii="Times New Roman" w:hAnsi="Times New Roman" w:cs="Times New Roman"/>
          <w:sz w:val="24"/>
          <w:szCs w:val="24"/>
        </w:rPr>
        <w:t>Бродов</w:t>
      </w:r>
      <w:r w:rsidR="00425113">
        <w:rPr>
          <w:rFonts w:ascii="Times New Roman" w:hAnsi="Times New Roman" w:cs="Times New Roman"/>
          <w:sz w:val="24"/>
          <w:szCs w:val="24"/>
        </w:rPr>
        <w:t>ое</w:t>
      </w:r>
      <w:r w:rsidR="009700D9" w:rsidRPr="00226E65">
        <w:rPr>
          <w:rFonts w:ascii="Times New Roman" w:hAnsi="Times New Roman" w:cs="Times New Roman"/>
          <w:sz w:val="24"/>
          <w:szCs w:val="24"/>
        </w:rPr>
        <w:t>, примагистральных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материалами, преимущественно, по индивидуальным проектным разработкам.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lastRenderedPageBreak/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8DA" w:rsidRDefault="00F768DA" w:rsidP="009700D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297163251"/>
    </w:p>
    <w:bookmarkEnd w:id="8"/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 w:rsidR="00425113" w:rsidRPr="00425113">
        <w:t>Бродовского</w:t>
      </w:r>
      <w:r w:rsidR="00425113">
        <w:t xml:space="preserve"> </w:t>
      </w:r>
      <w:r w:rsidR="003A0D22">
        <w:t>сель</w:t>
      </w:r>
      <w:r w:rsidRPr="00226E65">
        <w:t xml:space="preserve">ского поселения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2.05.06-85* «Магистральные трубопроводы»;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СО 153-34. 2.06.01-2003 «Гидротехнические сооружения. Основные положения проектирования»;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43.13330.2012 Сооружения промышленных предприятий. Актуализированная редакция СНиП 2.09.03-85;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2.11.03-93 «Склады нефти и нефтепродуктов. Противопожарные нормы»;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113.13330.2012 Стоянки автомобилей. Актуализированная редакция СНиП 21-02-99*;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lastRenderedPageBreak/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50.13330.2012 Тепловая защита зданий Актуализированная редакция СНиП 23-02-2003;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51.13330.2011 Свод правил. Защита от шума;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54.13330.2011 Здания жилые многоквартирные. Актуализированная редакция СНиП 31-01-2003;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55.13330.2011. Свод правил. Дома жилые одноквартирные; </w:t>
      </w:r>
    </w:p>
    <w:p w:rsidR="00591FFD" w:rsidRPr="00D91696" w:rsidRDefault="004D1156" w:rsidP="00591FFD">
      <w:pPr>
        <w:numPr>
          <w:ilvl w:val="0"/>
          <w:numId w:val="43"/>
        </w:numPr>
        <w:ind w:left="0" w:firstLine="709"/>
        <w:jc w:val="both"/>
      </w:pPr>
      <w:hyperlink r:id="rId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="00591FFD" w:rsidRPr="00D91696">
          <w:t>СП 59.13330</w:t>
        </w:r>
      </w:hyperlink>
      <w:r w:rsidR="00591FFD" w:rsidRPr="00D91696"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35-103-2001 Общественные здания и сооружения, доступные маломобильным посетителям;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4D1156" w:rsidP="00591FFD">
      <w:pPr>
        <w:numPr>
          <w:ilvl w:val="0"/>
          <w:numId w:val="43"/>
        </w:numPr>
        <w:ind w:left="0" w:firstLine="709"/>
        <w:jc w:val="both"/>
      </w:pPr>
      <w:hyperlink r:id="rId9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19.13330.2011 Генеральные планы сельскохозяйственных предприятий. Актуализированная редакция СНиП II-97-76*;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17.5.3.01-78 «Охрана природы. Земли. Состав и размер зеленых зон городов»;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17.8.1.02-88 «Охрана природы. Ландшафты. Классификация»;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101-95 «Нормы проектирования объектов пожарной охраны»;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111-98* «Автозаправочные станции. Требования пожарной безопасности»;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34.20.185-94 «Инструкция по проектированию городских электрических сетей»;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45.120-2000 «Нормы технологического проектирования. Городские и сельские телефонные сети»;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2.1.3.2630-10 Санитарно-эпидемиологические требования к организациям, осуществляющим медицинскую деятельность;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lastRenderedPageBreak/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2.1.7.2790-10 Санитарно-эпидемиологические требования к обращению с медицинскими отходами;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2.1.7.1287-03 «Санитарно-эпидемиологические требования к качеству почвы»;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2.1.8/2.2.4.1383-03 «Гигиенические требования к размещению и эксплуатации передающих радиотехнических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rPr>
          <w:rFonts w:eastAsia="Calibri"/>
          <w:color w:val="000000"/>
          <w:kern w:val="24"/>
        </w:rPr>
        <w:t>СанПиН 2.1.8/2.2.4.1383-03</w:t>
      </w:r>
      <w:r w:rsidRPr="00D91696">
        <w:t xml:space="preserve"> «Гигиенические требования к размещению и эксплуатации средств сухопутной подвижной радиосвязи»;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4D1156" w:rsidP="00591FFD">
      <w:pPr>
        <w:numPr>
          <w:ilvl w:val="0"/>
          <w:numId w:val="42"/>
        </w:numPr>
        <w:ind w:left="0" w:firstLine="709"/>
        <w:jc w:val="both"/>
      </w:pPr>
      <w:hyperlink r:id="rId10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2.1.2.2645-10 Санитарно-эпидемиологические требования к условиям проживания в жилых зданиях и помещениях;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2.4.2.2821-10 «Гигиенические требования к условиям обучения в общеобразовательных учреждениях»;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23-75 «Инструкции по планировке и застройке курортов и зон отдыха»;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01-89 Предприятия по обслуживанию автомобилей;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2.06.03-85 Мелиоративные системы и сооружения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СТО 70238424.27.140.002-2008 «Гидротехнические сооружения ГЭС и ГАЭС. Условия создания. Нормы и требования».</w:t>
      </w:r>
    </w:p>
    <w:p w:rsidR="00591FFD" w:rsidRDefault="00591FFD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9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10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11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3A0D22">
        <w:rPr>
          <w:rFonts w:ascii="Times New Roman" w:hAnsi="Times New Roman" w:cs="Times New Roman"/>
          <w:sz w:val="24"/>
          <w:szCs w:val="24"/>
        </w:rPr>
        <w:t>сель</w:t>
      </w:r>
      <w:r w:rsidRPr="00226E65">
        <w:rPr>
          <w:rFonts w:ascii="Times New Roman" w:hAnsi="Times New Roman" w:cs="Times New Roman"/>
          <w:sz w:val="24"/>
          <w:szCs w:val="24"/>
        </w:rPr>
        <w:t>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277842805"/>
      <w:bookmarkStart w:id="13" w:name="_Toc277843043"/>
      <w:bookmarkStart w:id="14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2"/>
      <w:bookmarkEnd w:id="13"/>
      <w:bookmarkEnd w:id="14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1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03" w:rsidRDefault="00894403" w:rsidP="009700D9">
      <w:r>
        <w:separator/>
      </w:r>
    </w:p>
  </w:endnote>
  <w:endnote w:type="continuationSeparator" w:id="1">
    <w:p w:rsidR="00894403" w:rsidRDefault="00894403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19067E" w:rsidRDefault="0019067E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BB770F" w:rsidRPr="00BB770F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9067E" w:rsidRDefault="001906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03" w:rsidRDefault="00894403" w:rsidP="009700D9">
      <w:r>
        <w:separator/>
      </w:r>
    </w:p>
  </w:footnote>
  <w:footnote w:type="continuationSeparator" w:id="1">
    <w:p w:rsidR="00894403" w:rsidRDefault="00894403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355E6"/>
    <w:rsid w:val="00082E5B"/>
    <w:rsid w:val="000E4C97"/>
    <w:rsid w:val="00112F3B"/>
    <w:rsid w:val="00173DD8"/>
    <w:rsid w:val="0019067E"/>
    <w:rsid w:val="002017CF"/>
    <w:rsid w:val="00220E4A"/>
    <w:rsid w:val="002D43FD"/>
    <w:rsid w:val="002E1F29"/>
    <w:rsid w:val="00330911"/>
    <w:rsid w:val="00332DC3"/>
    <w:rsid w:val="00340AED"/>
    <w:rsid w:val="00354C2B"/>
    <w:rsid w:val="00384E4F"/>
    <w:rsid w:val="003A0D22"/>
    <w:rsid w:val="003F47A1"/>
    <w:rsid w:val="00425113"/>
    <w:rsid w:val="004D1156"/>
    <w:rsid w:val="00502E97"/>
    <w:rsid w:val="005245DC"/>
    <w:rsid w:val="005262ED"/>
    <w:rsid w:val="00552EB9"/>
    <w:rsid w:val="0055701C"/>
    <w:rsid w:val="00583664"/>
    <w:rsid w:val="00591FFD"/>
    <w:rsid w:val="006139DE"/>
    <w:rsid w:val="00645DAF"/>
    <w:rsid w:val="006C60E3"/>
    <w:rsid w:val="006D777F"/>
    <w:rsid w:val="0070033C"/>
    <w:rsid w:val="007204CA"/>
    <w:rsid w:val="0074073A"/>
    <w:rsid w:val="007420FF"/>
    <w:rsid w:val="00745615"/>
    <w:rsid w:val="00761705"/>
    <w:rsid w:val="00785EB6"/>
    <w:rsid w:val="007B7F3B"/>
    <w:rsid w:val="00813BBB"/>
    <w:rsid w:val="00833677"/>
    <w:rsid w:val="00843C92"/>
    <w:rsid w:val="00894403"/>
    <w:rsid w:val="00894A26"/>
    <w:rsid w:val="008C1EB4"/>
    <w:rsid w:val="008E3A5F"/>
    <w:rsid w:val="008F1A7F"/>
    <w:rsid w:val="0091233C"/>
    <w:rsid w:val="00927A8D"/>
    <w:rsid w:val="009700D9"/>
    <w:rsid w:val="009A68E9"/>
    <w:rsid w:val="009B4B06"/>
    <w:rsid w:val="009E3F1B"/>
    <w:rsid w:val="009E636F"/>
    <w:rsid w:val="00A21D9B"/>
    <w:rsid w:val="00A33F91"/>
    <w:rsid w:val="00AB3D3B"/>
    <w:rsid w:val="00AD01CD"/>
    <w:rsid w:val="00AF2682"/>
    <w:rsid w:val="00B02D8F"/>
    <w:rsid w:val="00B74579"/>
    <w:rsid w:val="00B76FA9"/>
    <w:rsid w:val="00BB770F"/>
    <w:rsid w:val="00C16C3D"/>
    <w:rsid w:val="00C37B7A"/>
    <w:rsid w:val="00C540F2"/>
    <w:rsid w:val="00C6447C"/>
    <w:rsid w:val="00CD17B3"/>
    <w:rsid w:val="00CD34AA"/>
    <w:rsid w:val="00CD4F62"/>
    <w:rsid w:val="00D0103E"/>
    <w:rsid w:val="00D22D67"/>
    <w:rsid w:val="00D72A8B"/>
    <w:rsid w:val="00D7795B"/>
    <w:rsid w:val="00E0281A"/>
    <w:rsid w:val="00E05688"/>
    <w:rsid w:val="00E074E3"/>
    <w:rsid w:val="00E24822"/>
    <w:rsid w:val="00E45DA8"/>
    <w:rsid w:val="00EA7817"/>
    <w:rsid w:val="00ED41BF"/>
    <w:rsid w:val="00F133D6"/>
    <w:rsid w:val="00F26CF7"/>
    <w:rsid w:val="00F768DA"/>
    <w:rsid w:val="00F949C6"/>
    <w:rsid w:val="00FB2371"/>
    <w:rsid w:val="00FD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DC9163EA89C33B04490788F29A28CC803817A814F4A6F3D5184F6KB4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3281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10h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C211-FA87-4E63-983C-665F20BA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6274</Words>
  <Characters>35766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2014-12-23T05:52:00Z</cp:lastPrinted>
  <dcterms:created xsi:type="dcterms:W3CDTF">2014-12-24T05:33:00Z</dcterms:created>
  <dcterms:modified xsi:type="dcterms:W3CDTF">2014-12-24T05:33:00Z</dcterms:modified>
</cp:coreProperties>
</file>